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49EEC" w14:textId="0CB9E8B6" w:rsidR="004A2469" w:rsidRDefault="00FD6C85" w:rsidP="008A601F">
      <w:pPr>
        <w:snapToGrid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D6C85">
        <w:rPr>
          <w:rFonts w:ascii="Times New Roman" w:hAnsi="Times New Roman" w:cs="Times New Roman"/>
          <w:b/>
          <w:bCs/>
          <w:sz w:val="32"/>
          <w:szCs w:val="32"/>
        </w:rPr>
        <w:t>Technical specification for treatment and reuse of circulating cooling water in thermal power plants</w:t>
      </w:r>
    </w:p>
    <w:p w14:paraId="2E087B3F" w14:textId="77777777" w:rsidR="00F358C8" w:rsidRPr="005B2732" w:rsidRDefault="00F358C8" w:rsidP="008A601F">
      <w:pPr>
        <w:snapToGrid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B6BA70E" w14:textId="144EAEFA" w:rsidR="008A601F" w:rsidRDefault="008A601F" w:rsidP="008A601F">
      <w:pPr>
        <w:pStyle w:val="Default"/>
      </w:pPr>
    </w:p>
    <w:p w14:paraId="47EF9F1C" w14:textId="3E380E8D" w:rsidR="00F358C8" w:rsidRDefault="00F358C8" w:rsidP="00181875">
      <w:pPr>
        <w:pStyle w:val="1"/>
      </w:pPr>
      <w:r>
        <w:rPr>
          <w:rFonts w:hint="eastAsia"/>
        </w:rPr>
        <w:t>Scope</w:t>
      </w:r>
    </w:p>
    <w:p w14:paraId="53BD372C" w14:textId="77777777" w:rsidR="00FD6C85" w:rsidRPr="00FD6C85" w:rsidRDefault="00F358C8" w:rsidP="00FD6C85">
      <w:pPr>
        <w:ind w:firstLineChars="200" w:firstLine="480"/>
        <w:rPr>
          <w:rFonts w:ascii="Times New Roman" w:eastAsia="黑体" w:hAnsi="Times New Roman" w:cs="Times New Roman"/>
          <w:sz w:val="24"/>
          <w:szCs w:val="32"/>
        </w:rPr>
      </w:pPr>
      <w:r>
        <w:rPr>
          <w:rFonts w:ascii="Times New Roman" w:eastAsia="黑体" w:hAnsi="Times New Roman" w:cs="Times New Roman" w:hint="eastAsia"/>
          <w:sz w:val="24"/>
          <w:szCs w:val="32"/>
        </w:rPr>
        <w:t xml:space="preserve">This </w:t>
      </w:r>
      <w:r w:rsidR="00FD6C85" w:rsidRPr="00FD6C85">
        <w:rPr>
          <w:rFonts w:ascii="Times New Roman" w:eastAsia="黑体" w:hAnsi="Times New Roman" w:cs="Times New Roman"/>
          <w:sz w:val="24"/>
          <w:szCs w:val="32"/>
        </w:rPr>
        <w:t>This standard specifies the general requirements, technical and management requirements for water conservation of circulating cooling water in thermal power plants.</w:t>
      </w:r>
    </w:p>
    <w:p w14:paraId="1CFA7225" w14:textId="37E436B4" w:rsidR="00FD6C85" w:rsidRPr="00FD6C85" w:rsidRDefault="00FD6C85" w:rsidP="00FD6C85">
      <w:pPr>
        <w:ind w:firstLineChars="200" w:firstLine="480"/>
        <w:rPr>
          <w:rFonts w:ascii="Times New Roman" w:eastAsia="黑体" w:hAnsi="Times New Roman" w:cs="Times New Roman"/>
          <w:sz w:val="24"/>
          <w:szCs w:val="32"/>
        </w:rPr>
      </w:pPr>
      <w:r w:rsidRPr="00FD6C85">
        <w:rPr>
          <w:rFonts w:ascii="Times New Roman" w:eastAsia="黑体" w:hAnsi="Times New Roman" w:cs="Times New Roman"/>
          <w:sz w:val="24"/>
          <w:szCs w:val="32"/>
        </w:rPr>
        <w:t xml:space="preserve">This </w:t>
      </w:r>
      <w:r>
        <w:rPr>
          <w:rFonts w:ascii="Times New Roman" w:eastAsia="黑体" w:hAnsi="Times New Roman" w:cs="Times New Roman"/>
          <w:sz w:val="24"/>
          <w:szCs w:val="32"/>
        </w:rPr>
        <w:t>document</w:t>
      </w:r>
      <w:r w:rsidRPr="00FD6C85">
        <w:rPr>
          <w:rFonts w:ascii="Times New Roman" w:eastAsia="黑体" w:hAnsi="Times New Roman" w:cs="Times New Roman"/>
          <w:sz w:val="24"/>
          <w:szCs w:val="32"/>
        </w:rPr>
        <w:t xml:space="preserve"> contains typical control parameters of mature process of circulating cooling water treatment in thermal power plants, </w:t>
      </w:r>
      <w:proofErr w:type="gramStart"/>
      <w:r w:rsidRPr="00FD6C85">
        <w:rPr>
          <w:rFonts w:ascii="Times New Roman" w:eastAsia="黑体" w:hAnsi="Times New Roman" w:cs="Times New Roman"/>
          <w:sz w:val="24"/>
          <w:szCs w:val="32"/>
        </w:rPr>
        <w:t>It</w:t>
      </w:r>
      <w:proofErr w:type="gramEnd"/>
      <w:r w:rsidRPr="00FD6C85">
        <w:rPr>
          <w:rFonts w:ascii="Times New Roman" w:eastAsia="黑体" w:hAnsi="Times New Roman" w:cs="Times New Roman"/>
          <w:sz w:val="24"/>
          <w:szCs w:val="32"/>
        </w:rPr>
        <w:t xml:space="preserve"> does not include the process with few application cases in circulating water treatment at present, or the circulating water treatment processes that needs to be matured.</w:t>
      </w:r>
    </w:p>
    <w:p w14:paraId="4EF9C324" w14:textId="07E92D42" w:rsidR="00FD6C85" w:rsidRPr="00FD6C85" w:rsidRDefault="00FD6C85" w:rsidP="00FD6C85">
      <w:pPr>
        <w:ind w:firstLineChars="200" w:firstLine="480"/>
        <w:rPr>
          <w:rFonts w:ascii="Times New Roman" w:eastAsia="黑体" w:hAnsi="Times New Roman" w:cs="Times New Roman"/>
          <w:sz w:val="24"/>
          <w:szCs w:val="32"/>
        </w:rPr>
      </w:pPr>
      <w:r w:rsidRPr="00FD6C85">
        <w:rPr>
          <w:rFonts w:ascii="Times New Roman" w:eastAsia="黑体" w:hAnsi="Times New Roman" w:cs="Times New Roman"/>
          <w:sz w:val="24"/>
          <w:szCs w:val="32"/>
        </w:rPr>
        <w:t xml:space="preserve">This </w:t>
      </w:r>
      <w:r>
        <w:rPr>
          <w:rFonts w:ascii="Times New Roman" w:eastAsia="黑体" w:hAnsi="Times New Roman" w:cs="Times New Roman"/>
          <w:sz w:val="24"/>
          <w:szCs w:val="32"/>
        </w:rPr>
        <w:t>document</w:t>
      </w:r>
      <w:r w:rsidRPr="00FD6C85">
        <w:rPr>
          <w:rFonts w:ascii="Times New Roman" w:eastAsia="黑体" w:hAnsi="Times New Roman" w:cs="Times New Roman"/>
          <w:sz w:val="24"/>
          <w:szCs w:val="32"/>
        </w:rPr>
        <w:t xml:space="preserve"> provides standardized technical guidance for the target population of circulating cooling water treatment project of thermal power plant. (planners, managers, technical consultants, designers, operators of processing systems).</w:t>
      </w:r>
    </w:p>
    <w:p w14:paraId="5EC023C7" w14:textId="3D497575" w:rsidR="00FD6C85" w:rsidRPr="00FD6C85" w:rsidRDefault="00FD6C85" w:rsidP="00FD6C85">
      <w:pPr>
        <w:ind w:firstLineChars="200" w:firstLine="480"/>
        <w:rPr>
          <w:rFonts w:ascii="Times New Roman" w:eastAsia="黑体" w:hAnsi="Times New Roman" w:cs="Times New Roman"/>
          <w:sz w:val="24"/>
          <w:szCs w:val="32"/>
        </w:rPr>
      </w:pPr>
      <w:r w:rsidRPr="00FD6C85">
        <w:rPr>
          <w:rFonts w:ascii="Times New Roman" w:eastAsia="黑体" w:hAnsi="Times New Roman" w:cs="Times New Roman"/>
          <w:sz w:val="24"/>
          <w:szCs w:val="32"/>
        </w:rPr>
        <w:t xml:space="preserve">This </w:t>
      </w:r>
      <w:r>
        <w:rPr>
          <w:rFonts w:ascii="Times New Roman" w:eastAsia="黑体" w:hAnsi="Times New Roman" w:cs="Times New Roman"/>
          <w:sz w:val="24"/>
          <w:szCs w:val="32"/>
        </w:rPr>
        <w:t>document</w:t>
      </w:r>
      <w:r w:rsidRPr="00FD6C85">
        <w:rPr>
          <w:rFonts w:ascii="Times New Roman" w:eastAsia="黑体" w:hAnsi="Times New Roman" w:cs="Times New Roman"/>
          <w:sz w:val="24"/>
          <w:szCs w:val="32"/>
        </w:rPr>
        <w:t xml:space="preserve"> is applicable to the optimization technology and process reference before the implementation of water-saving upgrading and transformation of circulating water system in thermal power plant; Technical control of circulating water operation after water-saving transformation; Guide the upgrading of the implemented circulating water system.</w:t>
      </w:r>
    </w:p>
    <w:p w14:paraId="4EB7D4DB" w14:textId="1D1C5460" w:rsidR="00F358C8" w:rsidRPr="00FD6C85" w:rsidRDefault="00FD6C85" w:rsidP="00FD6C85">
      <w:pPr>
        <w:ind w:firstLineChars="200" w:firstLine="480"/>
        <w:rPr>
          <w:rFonts w:ascii="Times New Roman" w:eastAsia="黑体" w:hAnsi="Times New Roman" w:cs="Times New Roman"/>
          <w:sz w:val="24"/>
          <w:szCs w:val="32"/>
        </w:rPr>
      </w:pPr>
      <w:r w:rsidRPr="00FD6C85">
        <w:rPr>
          <w:rFonts w:ascii="Times New Roman" w:eastAsia="黑体" w:hAnsi="Times New Roman" w:cs="Times New Roman"/>
          <w:sz w:val="24"/>
          <w:szCs w:val="32"/>
        </w:rPr>
        <w:t xml:space="preserve">This </w:t>
      </w:r>
      <w:r>
        <w:rPr>
          <w:rFonts w:ascii="Times New Roman" w:eastAsia="黑体" w:hAnsi="Times New Roman" w:cs="Times New Roman"/>
          <w:sz w:val="24"/>
          <w:szCs w:val="32"/>
        </w:rPr>
        <w:t>document</w:t>
      </w:r>
      <w:r w:rsidRPr="00FD6C85">
        <w:rPr>
          <w:rFonts w:ascii="Times New Roman" w:eastAsia="黑体" w:hAnsi="Times New Roman" w:cs="Times New Roman"/>
          <w:sz w:val="24"/>
          <w:szCs w:val="32"/>
        </w:rPr>
        <w:t xml:space="preserve"> is applicable to circulating cooling thermal power plants fueled by coal, oil, natural gas and biomass.</w:t>
      </w:r>
    </w:p>
    <w:p w14:paraId="299B5A9A" w14:textId="77777777" w:rsidR="00F358C8" w:rsidRPr="00F358C8" w:rsidRDefault="00F358C8" w:rsidP="008A601F">
      <w:pPr>
        <w:pStyle w:val="Default"/>
      </w:pPr>
    </w:p>
    <w:p w14:paraId="2D33B272" w14:textId="73AC90B3" w:rsidR="008A601F" w:rsidRPr="00F358C8" w:rsidRDefault="008A601F" w:rsidP="00181875">
      <w:pPr>
        <w:pStyle w:val="1"/>
      </w:pPr>
      <w:r w:rsidRPr="00F358C8">
        <w:t>Draft Outline</w:t>
      </w:r>
    </w:p>
    <w:p w14:paraId="258461D7" w14:textId="77777777" w:rsidR="005B110E" w:rsidRPr="005B110E" w:rsidRDefault="005B110E">
      <w:pPr>
        <w:rPr>
          <w:rFonts w:ascii="Times New Roman" w:eastAsia="黑体" w:hAnsi="Times New Roman" w:cs="Times New Roman"/>
          <w:sz w:val="24"/>
          <w:szCs w:val="32"/>
        </w:rPr>
      </w:pPr>
    </w:p>
    <w:p w14:paraId="707FD3B6" w14:textId="387CCEE0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Foreword</w:t>
      </w:r>
    </w:p>
    <w:p w14:paraId="72E9EF1D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Introduction</w:t>
      </w:r>
    </w:p>
    <w:p w14:paraId="1387316F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1 Scope</w:t>
      </w:r>
    </w:p>
    <w:p w14:paraId="44803994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2 Normative references</w:t>
      </w:r>
    </w:p>
    <w:p w14:paraId="062DBCD5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3 Terms and definitions</w:t>
      </w:r>
    </w:p>
    <w:p w14:paraId="23B1F798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4 General principles</w:t>
      </w:r>
    </w:p>
    <w:p w14:paraId="7D744F3E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5 Quality requirements and treatment evaluation of circulating water</w:t>
      </w:r>
    </w:p>
    <w:p w14:paraId="7210F33C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5.1 Quality requirements of make-up water for circulating cooling water</w:t>
      </w:r>
    </w:p>
    <w:p w14:paraId="0F502C6D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5.2 Water quality requirements of circulating cooling water system</w:t>
      </w:r>
    </w:p>
    <w:p w14:paraId="11C50D2B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5.3. Evaluation for circulating cooling water treatment</w:t>
      </w:r>
    </w:p>
    <w:p w14:paraId="4F96ED9B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6 Basic requirements for water conservation</w:t>
      </w:r>
    </w:p>
    <w:p w14:paraId="6C263BFB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7 Technical requirements for water conservation</w:t>
      </w:r>
    </w:p>
    <w:p w14:paraId="11D802E0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7.1 General requirements</w:t>
      </w:r>
    </w:p>
    <w:p w14:paraId="26F2F410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7.2 Treatment of circulating cooling with water quality stabilizer</w:t>
      </w:r>
    </w:p>
    <w:p w14:paraId="5189D57D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7.3 Lime treatment</w:t>
      </w:r>
    </w:p>
    <w:p w14:paraId="2FD007C9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lastRenderedPageBreak/>
        <w:t>7.4 Weakly acid cation resin treatment</w:t>
      </w:r>
    </w:p>
    <w:p w14:paraId="5AC768A9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7.5 Membrane treatment</w:t>
      </w:r>
    </w:p>
    <w:p w14:paraId="2F06EF8A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8 Management requirements for water conservation</w:t>
      </w:r>
    </w:p>
    <w:p w14:paraId="38205A4C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8.1 Requirements for instrumentation</w:t>
      </w:r>
    </w:p>
    <w:p w14:paraId="4C34F54B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8.2 Measuring instrument management</w:t>
      </w:r>
    </w:p>
    <w:p w14:paraId="26B3165D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8.3 Water management</w:t>
      </w:r>
    </w:p>
    <w:p w14:paraId="3F6DB8A4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8.4 Technical account</w:t>
      </w:r>
    </w:p>
    <w:p w14:paraId="6F5130A9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9 Indirect measures to save water — reduce water vapor loss</w:t>
      </w:r>
    </w:p>
    <w:p w14:paraId="18C4AF5E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Annex A (informative) Calculation of concentration factor</w:t>
      </w:r>
    </w:p>
    <w:p w14:paraId="4C88793F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Annex B (informative) Calculation of scaling judgment of circulating cooling water</w:t>
      </w:r>
    </w:p>
    <w:p w14:paraId="2AA04665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Annex C (informative) Calculation of water quantity of by-flow filtration and softening and desalting treatment</w:t>
      </w:r>
    </w:p>
    <w:p w14:paraId="61B968BB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Annex D (informative) Calculation of drug concentration change with time during intermittent dosing</w:t>
      </w:r>
    </w:p>
    <w:p w14:paraId="20F3B82F" w14:textId="77777777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Annex E (informative) Performance evaluation of bactericide for circulating cooling water</w:t>
      </w:r>
    </w:p>
    <w:p w14:paraId="40EDAC48" w14:textId="06D4164D" w:rsidR="00FD6C85" w:rsidRPr="00FD6C85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 xml:space="preserve">Annex F (informative) Determination of corrosion inhibition performance of water treatment agents- Calcium carbonate </w:t>
      </w: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precipitation</w:t>
      </w: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 xml:space="preserve"> met</w:t>
      </w:r>
      <w:bookmarkStart w:id="0" w:name="_GoBack"/>
      <w:bookmarkEnd w:id="0"/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hod</w:t>
      </w:r>
    </w:p>
    <w:p w14:paraId="07A90099" w14:textId="78F70B63" w:rsidR="004A2469" w:rsidRPr="005B2732" w:rsidRDefault="00FD6C85" w:rsidP="00FD6C85">
      <w:pPr>
        <w:rPr>
          <w:rFonts w:ascii="Times New Roman" w:eastAsia="黑体" w:hAnsi="Times New Roman" w:cs="Times New Roman"/>
          <w:sz w:val="24"/>
          <w:szCs w:val="32"/>
          <w:lang w:val="en-GB"/>
        </w:rPr>
      </w:pPr>
      <w:r w:rsidRPr="00FD6C85">
        <w:rPr>
          <w:rFonts w:ascii="Times New Roman" w:eastAsia="黑体" w:hAnsi="Times New Roman" w:cs="Times New Roman"/>
          <w:sz w:val="24"/>
          <w:szCs w:val="32"/>
          <w:lang w:val="en-GB"/>
        </w:rPr>
        <w:t>Annex G (informative) Determination of corrosion inhibition performance of water treatment agents- Rotary hanging piece method</w:t>
      </w:r>
    </w:p>
    <w:p w14:paraId="6DB59B7A" w14:textId="46791227" w:rsidR="005B110E" w:rsidRPr="00F358C8" w:rsidRDefault="005B110E" w:rsidP="00F358C8">
      <w:pPr>
        <w:ind w:left="480" w:hangingChars="200" w:hanging="480"/>
        <w:rPr>
          <w:rFonts w:ascii="Times New Roman" w:eastAsia="黑体" w:hAnsi="Times New Roman" w:cs="Times New Roman"/>
          <w:sz w:val="24"/>
          <w:szCs w:val="32"/>
          <w:lang w:val="en-GB"/>
        </w:rPr>
      </w:pPr>
    </w:p>
    <w:sectPr w:rsidR="005B110E" w:rsidRPr="00F358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7C41E" w14:textId="77777777" w:rsidR="00EF51FA" w:rsidRDefault="00EF51FA" w:rsidP="007A7AE0">
      <w:r>
        <w:separator/>
      </w:r>
    </w:p>
  </w:endnote>
  <w:endnote w:type="continuationSeparator" w:id="0">
    <w:p w14:paraId="5C26522D" w14:textId="77777777" w:rsidR="00EF51FA" w:rsidRDefault="00EF51FA" w:rsidP="007A7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226F" w14:textId="77777777" w:rsidR="00EF51FA" w:rsidRDefault="00EF51FA" w:rsidP="007A7AE0">
      <w:r>
        <w:separator/>
      </w:r>
    </w:p>
  </w:footnote>
  <w:footnote w:type="continuationSeparator" w:id="0">
    <w:p w14:paraId="246AA928" w14:textId="77777777" w:rsidR="00EF51FA" w:rsidRDefault="00EF51FA" w:rsidP="007A7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C7EB8"/>
    <w:multiLevelType w:val="multilevel"/>
    <w:tmpl w:val="33AC7EB8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cs="Times New Roman"/>
        <w:b/>
        <w:i w:val="0"/>
      </w:rPr>
    </w:lvl>
    <w:lvl w:ilvl="1">
      <w:start w:val="1"/>
      <w:numFmt w:val="decimal"/>
      <w:pStyle w:val="2"/>
      <w:lvlText w:val="%1.%2"/>
      <w:lvlJc w:val="left"/>
      <w:pPr>
        <w:tabs>
          <w:tab w:val="left" w:pos="360"/>
        </w:tabs>
      </w:pPr>
      <w:rPr>
        <w:rFonts w:cs="Times New Roman"/>
        <w:b/>
        <w:i w:val="0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</w:pPr>
      <w:rPr>
        <w:rFonts w:cs="Times New Roman"/>
        <w:b/>
        <w:i w:val="0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1080"/>
        </w:tabs>
      </w:pPr>
      <w:rPr>
        <w:rFonts w:cs="Times New Roman"/>
        <w:b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80"/>
        </w:tabs>
      </w:pPr>
      <w:rPr>
        <w:rFonts w:cs="Times New Roman"/>
        <w:b/>
        <w:i w:val="0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440"/>
        </w:tabs>
      </w:pPr>
      <w:rPr>
        <w:rFonts w:cs="Times New Roman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535"/>
    <w:rsid w:val="00181875"/>
    <w:rsid w:val="001A0535"/>
    <w:rsid w:val="001A46C3"/>
    <w:rsid w:val="00354B0C"/>
    <w:rsid w:val="003D5C3E"/>
    <w:rsid w:val="004328CB"/>
    <w:rsid w:val="0044135E"/>
    <w:rsid w:val="004A2469"/>
    <w:rsid w:val="004E41CF"/>
    <w:rsid w:val="00510B3D"/>
    <w:rsid w:val="00554DEC"/>
    <w:rsid w:val="00565D3A"/>
    <w:rsid w:val="005B110E"/>
    <w:rsid w:val="005B2732"/>
    <w:rsid w:val="007A7AE0"/>
    <w:rsid w:val="007B1302"/>
    <w:rsid w:val="008A601F"/>
    <w:rsid w:val="008D7BDD"/>
    <w:rsid w:val="009D69E1"/>
    <w:rsid w:val="00A55BF4"/>
    <w:rsid w:val="00BB022F"/>
    <w:rsid w:val="00C628D1"/>
    <w:rsid w:val="00C70B36"/>
    <w:rsid w:val="00CA55B2"/>
    <w:rsid w:val="00D43B1C"/>
    <w:rsid w:val="00DB7D3A"/>
    <w:rsid w:val="00EF51FA"/>
    <w:rsid w:val="00F358C8"/>
    <w:rsid w:val="00F747A0"/>
    <w:rsid w:val="00FD6C85"/>
    <w:rsid w:val="00FE68CC"/>
    <w:rsid w:val="39C0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B581EF"/>
  <w15:docId w15:val="{AEF1EAE5-A7F3-460C-923E-FEB9EA863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1"/>
    <w:qFormat/>
    <w:pPr>
      <w:keepNext/>
      <w:widowControl/>
      <w:numPr>
        <w:numId w:val="1"/>
      </w:numPr>
      <w:tabs>
        <w:tab w:val="left" w:pos="400"/>
        <w:tab w:val="left" w:pos="560"/>
      </w:tabs>
      <w:suppressAutoHyphens/>
      <w:spacing w:before="270" w:after="240" w:line="270" w:lineRule="atLeast"/>
      <w:ind w:left="0" w:firstLine="0"/>
      <w:jc w:val="left"/>
      <w:outlineLvl w:val="0"/>
    </w:pPr>
    <w:rPr>
      <w:rFonts w:ascii="Cambria" w:eastAsia="MS Mincho" w:hAnsi="Cambria" w:cs="Times New Roman"/>
      <w:b/>
      <w:kern w:val="0"/>
      <w:sz w:val="26"/>
      <w:lang w:val="en-GB" w:eastAsia="ja-JP"/>
    </w:rPr>
  </w:style>
  <w:style w:type="paragraph" w:styleId="2">
    <w:name w:val="heading 2"/>
    <w:basedOn w:val="1"/>
    <w:next w:val="a"/>
    <w:link w:val="20"/>
    <w:uiPriority w:val="2"/>
    <w:qFormat/>
    <w:pPr>
      <w:numPr>
        <w:ilvl w:val="1"/>
      </w:numPr>
      <w:tabs>
        <w:tab w:val="clear" w:pos="400"/>
        <w:tab w:val="clear" w:pos="560"/>
        <w:tab w:val="left" w:pos="540"/>
        <w:tab w:val="left" w:pos="700"/>
      </w:tabs>
      <w:spacing w:before="60" w:line="250" w:lineRule="atLeast"/>
      <w:outlineLvl w:val="1"/>
    </w:pPr>
    <w:rPr>
      <w:rFonts w:ascii="Times New Roman" w:eastAsia="微软雅黑" w:hAnsi="Times New Roman"/>
      <w:sz w:val="24"/>
    </w:rPr>
  </w:style>
  <w:style w:type="paragraph" w:styleId="3">
    <w:name w:val="heading 3"/>
    <w:basedOn w:val="1"/>
    <w:next w:val="a"/>
    <w:link w:val="30"/>
    <w:uiPriority w:val="3"/>
    <w:qFormat/>
    <w:pPr>
      <w:numPr>
        <w:ilvl w:val="2"/>
      </w:numPr>
      <w:tabs>
        <w:tab w:val="clear" w:pos="400"/>
        <w:tab w:val="clear" w:pos="560"/>
        <w:tab w:val="left" w:pos="880"/>
      </w:tabs>
      <w:spacing w:before="60" w:line="240" w:lineRule="atLeast"/>
      <w:outlineLvl w:val="2"/>
    </w:pPr>
    <w:rPr>
      <w:sz w:val="22"/>
    </w:rPr>
  </w:style>
  <w:style w:type="paragraph" w:styleId="4">
    <w:name w:val="heading 4"/>
    <w:basedOn w:val="3"/>
    <w:next w:val="a"/>
    <w:link w:val="40"/>
    <w:uiPriority w:val="4"/>
    <w:qFormat/>
    <w:pPr>
      <w:numPr>
        <w:ilvl w:val="3"/>
      </w:numPr>
      <w:tabs>
        <w:tab w:val="clear" w:pos="880"/>
        <w:tab w:val="left" w:pos="1021"/>
        <w:tab w:val="left" w:pos="1140"/>
        <w:tab w:val="left" w:pos="1360"/>
      </w:tabs>
      <w:outlineLvl w:val="3"/>
    </w:pPr>
  </w:style>
  <w:style w:type="paragraph" w:styleId="5">
    <w:name w:val="heading 5"/>
    <w:basedOn w:val="4"/>
    <w:next w:val="a"/>
    <w:link w:val="50"/>
    <w:uiPriority w:val="5"/>
    <w:qFormat/>
    <w:pPr>
      <w:numPr>
        <w:ilvl w:val="4"/>
      </w:numPr>
      <w:tabs>
        <w:tab w:val="clear" w:pos="1140"/>
        <w:tab w:val="clear" w:pos="1360"/>
      </w:tabs>
      <w:outlineLvl w:val="4"/>
    </w:pPr>
  </w:style>
  <w:style w:type="paragraph" w:styleId="6">
    <w:name w:val="heading 6"/>
    <w:basedOn w:val="5"/>
    <w:next w:val="a"/>
    <w:link w:val="60"/>
    <w:uiPriority w:val="6"/>
    <w:qFormat/>
    <w:pPr>
      <w:numPr>
        <w:ilvl w:val="5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qFormat/>
    <w:rPr>
      <w:rFonts w:ascii="Cambria" w:eastAsia="MS Mincho" w:hAnsi="Cambria" w:cs="Times New Roman"/>
      <w:b/>
      <w:kern w:val="0"/>
      <w:sz w:val="26"/>
      <w:lang w:val="en-GB" w:eastAsia="ja-JP"/>
    </w:rPr>
  </w:style>
  <w:style w:type="character" w:customStyle="1" w:styleId="20">
    <w:name w:val="标题 2 字符"/>
    <w:basedOn w:val="a0"/>
    <w:link w:val="2"/>
    <w:uiPriority w:val="2"/>
    <w:qFormat/>
    <w:rPr>
      <w:rFonts w:ascii="Times New Roman" w:eastAsia="微软雅黑" w:hAnsi="Times New Roman" w:cs="Times New Roman"/>
      <w:b/>
      <w:kern w:val="0"/>
      <w:sz w:val="24"/>
      <w:lang w:val="en-GB" w:eastAsia="ja-JP"/>
    </w:rPr>
  </w:style>
  <w:style w:type="character" w:customStyle="1" w:styleId="30">
    <w:name w:val="标题 3 字符"/>
    <w:basedOn w:val="a0"/>
    <w:link w:val="3"/>
    <w:uiPriority w:val="3"/>
    <w:qFormat/>
    <w:rPr>
      <w:rFonts w:ascii="Cambria" w:eastAsia="MS Mincho" w:hAnsi="Cambria" w:cs="Times New Roman"/>
      <w:b/>
      <w:kern w:val="0"/>
      <w:sz w:val="22"/>
      <w:lang w:val="en-GB" w:eastAsia="ja-JP"/>
    </w:rPr>
  </w:style>
  <w:style w:type="character" w:customStyle="1" w:styleId="40">
    <w:name w:val="标题 4 字符"/>
    <w:basedOn w:val="a0"/>
    <w:link w:val="4"/>
    <w:uiPriority w:val="4"/>
    <w:qFormat/>
    <w:rPr>
      <w:rFonts w:ascii="Cambria" w:eastAsia="MS Mincho" w:hAnsi="Cambria" w:cs="Times New Roman"/>
      <w:b/>
      <w:kern w:val="0"/>
      <w:sz w:val="22"/>
      <w:lang w:val="en-GB" w:eastAsia="ja-JP"/>
    </w:rPr>
  </w:style>
  <w:style w:type="character" w:customStyle="1" w:styleId="50">
    <w:name w:val="标题 5 字符"/>
    <w:basedOn w:val="a0"/>
    <w:link w:val="5"/>
    <w:uiPriority w:val="5"/>
    <w:rPr>
      <w:rFonts w:ascii="Cambria" w:eastAsia="MS Mincho" w:hAnsi="Cambria" w:cs="Times New Roman"/>
      <w:b/>
      <w:kern w:val="0"/>
      <w:sz w:val="22"/>
      <w:lang w:val="en-GB" w:eastAsia="ja-JP"/>
    </w:rPr>
  </w:style>
  <w:style w:type="character" w:customStyle="1" w:styleId="60">
    <w:name w:val="标题 6 字符"/>
    <w:basedOn w:val="a0"/>
    <w:link w:val="6"/>
    <w:uiPriority w:val="6"/>
    <w:rPr>
      <w:rFonts w:ascii="Cambria" w:eastAsia="MS Mincho" w:hAnsi="Cambria" w:cs="Times New Roman"/>
      <w:b/>
      <w:kern w:val="0"/>
      <w:sz w:val="22"/>
      <w:lang w:val="en-GB" w:eastAsia="ja-JP"/>
    </w:rPr>
  </w:style>
  <w:style w:type="paragraph" w:styleId="a3">
    <w:name w:val="header"/>
    <w:basedOn w:val="a"/>
    <w:link w:val="a4"/>
    <w:uiPriority w:val="99"/>
    <w:unhideWhenUsed/>
    <w:rsid w:val="007A7A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7AE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7A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7AE0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Default">
    <w:name w:val="Default"/>
    <w:rsid w:val="008A601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7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9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7ADF5E-8BD4-4DDC-B7DB-8EAEC47DE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楚 想想</dc:creator>
  <cp:lastModifiedBy>Cheng Liuke</cp:lastModifiedBy>
  <cp:revision>7</cp:revision>
  <cp:lastPrinted>2021-08-02T07:25:00Z</cp:lastPrinted>
  <dcterms:created xsi:type="dcterms:W3CDTF">2021-08-02T07:25:00Z</dcterms:created>
  <dcterms:modified xsi:type="dcterms:W3CDTF">2022-10-10T06:10:00Z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